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694BE5" w:rsidP="00D4296B">
      <w:pPr>
        <w:widowControl w:val="0"/>
        <w:autoSpaceDE w:val="0"/>
        <w:autoSpaceDN w:val="0"/>
        <w:adjustRightInd w:val="0"/>
        <w:ind w:firstLine="567"/>
        <w:jc w:val="center"/>
        <w:rPr>
          <w:b/>
          <w:u w:val="single"/>
        </w:rPr>
      </w:pPr>
      <w:r w:rsidRPr="00694BE5">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lastRenderedPageBreak/>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регистрациипосредством единого портала электронных услуг вслучае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694BE5"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lastRenderedPageBreak/>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Pr="00F1342B">
        <w:t xml:space="preserve">по гражданству и миграции </w:t>
      </w:r>
      <w:r w:rsidR="00BA58EF" w:rsidRPr="00F1342B">
        <w:t>органа внутренних дел</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lastRenderedPageBreak/>
        <w:t>являются иностран</w:t>
      </w:r>
      <w:r w:rsidR="00FA15BF" w:rsidRPr="00F1342B">
        <w:t>цами</w:t>
      </w:r>
      <w:r w:rsidRPr="00F1342B">
        <w:t>,</w:t>
      </w:r>
      <w:r w:rsidR="00382C9E" w:rsidRPr="00F1342B">
        <w:t>осуществившими</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вправезаполнить соответствующее уведомление,образец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части</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w:t>
      </w:r>
      <w:r w:rsidR="00B11AE6" w:rsidRPr="00F1342B">
        <w:lastRenderedPageBreak/>
        <w:t>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в Беларуси, а также члены его семьи, достигшие возраста 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 xml:space="preserve">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w:t>
      </w:r>
      <w:r w:rsidRPr="00F1342B">
        <w:lastRenderedPageBreak/>
        <w:t>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lastRenderedPageBreak/>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r w:rsidR="00E81AA1">
        <w:t>Воровского</w:t>
      </w:r>
      <w:r w:rsidRPr="00F1342B">
        <w:t xml:space="preserve">, </w:t>
      </w:r>
      <w:r w:rsidR="00E81AA1">
        <w:t>19</w:t>
      </w:r>
      <w:r w:rsidRPr="00F1342B">
        <w:t xml:space="preserve">, тел. (0162) </w:t>
      </w:r>
      <w:r w:rsidR="00322A63">
        <w:t xml:space="preserve">53 73 26, </w:t>
      </w:r>
      <w:r w:rsidR="00E81AA1">
        <w:t>562185</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 xml:space="preserve">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w:t>
      </w:r>
      <w:r w:rsidRPr="00F1342B">
        <w:rPr>
          <w:szCs w:val="30"/>
        </w:rPr>
        <w:lastRenderedPageBreak/>
        <w:t>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lastRenderedPageBreak/>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lastRenderedPageBreak/>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lastRenderedPageBreak/>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lastRenderedPageBreak/>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694BE5"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010F92" w:rsidRDefault="00010F92" w:rsidP="00104B94">
      <w:pPr>
        <w:ind w:firstLine="567"/>
        <w:jc w:val="both"/>
        <w:rPr>
          <w:b/>
        </w:rPr>
      </w:pPr>
    </w:p>
    <w:p w:rsidR="00010F92" w:rsidRDefault="00010F92"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Default="00104B94" w:rsidP="00104B94">
      <w:pPr>
        <w:ind w:firstLine="567"/>
        <w:jc w:val="both"/>
        <w:rPr>
          <w:b/>
        </w:rPr>
      </w:pPr>
    </w:p>
    <w:p w:rsidR="00010F92" w:rsidRPr="00F1342B" w:rsidRDefault="00010F92"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Default="00104B94" w:rsidP="00104B94">
      <w:pPr>
        <w:ind w:firstLine="567"/>
        <w:jc w:val="both"/>
        <w:rPr>
          <w:b/>
        </w:rPr>
      </w:pPr>
    </w:p>
    <w:p w:rsidR="00010F92" w:rsidRPr="00F1342B" w:rsidRDefault="00010F92" w:rsidP="00104B94">
      <w:pPr>
        <w:ind w:firstLine="567"/>
        <w:jc w:val="both"/>
        <w:rPr>
          <w:b/>
        </w:rPr>
      </w:pPr>
    </w:p>
    <w:p w:rsidR="00104B94" w:rsidRPr="00F1342B" w:rsidRDefault="00104B94" w:rsidP="00104B94">
      <w:pPr>
        <w:ind w:firstLine="567"/>
        <w:jc w:val="both"/>
        <w:rPr>
          <w:b/>
        </w:rPr>
      </w:pPr>
      <w:r w:rsidRPr="00F1342B">
        <w:rPr>
          <w:b/>
        </w:rPr>
        <w:lastRenderedPageBreak/>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120971" w:rsidRPr="00B13724" w:rsidRDefault="00120971" w:rsidP="00765E57">
      <w:pPr>
        <w:ind w:firstLine="567"/>
        <w:jc w:val="center"/>
        <w:rPr>
          <w:b/>
          <w:u w:val="single"/>
          <w:lang w:val="en-US"/>
        </w:rPr>
      </w:pPr>
      <w:bookmarkStart w:id="0" w:name="_GoBack"/>
      <w:bookmarkEnd w:id="0"/>
    </w:p>
    <w:p w:rsidR="00120971" w:rsidRPr="00E81AA1"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lastRenderedPageBreak/>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lastRenderedPageBreak/>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lastRenderedPageBreak/>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w:t>
      </w:r>
      <w:r w:rsidRPr="00F1342B">
        <w:lastRenderedPageBreak/>
        <w:t xml:space="preserve">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lastRenderedPageBreak/>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lastRenderedPageBreak/>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rsidP="00010F92">
      <w:pPr>
        <w:rPr>
          <w:sz w:val="28"/>
          <w:szCs w:val="28"/>
        </w:rPr>
      </w:pPr>
    </w:p>
    <w:sectPr w:rsidR="00052BF3" w:rsidSect="00010F92">
      <w:footerReference w:type="default" r:id="rId3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BC" w:rsidRDefault="007E7ABC" w:rsidP="00CB76C4">
      <w:r>
        <w:separator/>
      </w:r>
    </w:p>
  </w:endnote>
  <w:endnote w:type="continuationSeparator" w:id="1">
    <w:p w:rsidR="007E7ABC" w:rsidRDefault="007E7ABC"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AB6756" w:rsidRDefault="00694BE5">
        <w:pPr>
          <w:pStyle w:val="ac"/>
          <w:jc w:val="center"/>
        </w:pPr>
        <w:r>
          <w:fldChar w:fldCharType="begin"/>
        </w:r>
        <w:r w:rsidR="00AB6756">
          <w:instrText xml:space="preserve"> PAGE   \* MERGEFORMAT </w:instrText>
        </w:r>
        <w:r>
          <w:fldChar w:fldCharType="separate"/>
        </w:r>
        <w:r w:rsidR="00FF2023">
          <w:rPr>
            <w:noProof/>
          </w:rPr>
          <w:t>20</w:t>
        </w:r>
        <w:r>
          <w:rPr>
            <w:noProof/>
          </w:rPr>
          <w:fldChar w:fldCharType="end"/>
        </w:r>
      </w:p>
    </w:sdtContent>
  </w:sdt>
  <w:p w:rsidR="00AB6756" w:rsidRDefault="00AB67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BC" w:rsidRDefault="007E7ABC" w:rsidP="00CB76C4">
      <w:r>
        <w:separator/>
      </w:r>
    </w:p>
  </w:footnote>
  <w:footnote w:type="continuationSeparator" w:id="1">
    <w:p w:rsidR="007E7ABC" w:rsidRDefault="007E7ABC"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6AB9"/>
    <w:rsid w:val="00010F92"/>
    <w:rsid w:val="00011A6F"/>
    <w:rsid w:val="0003693E"/>
    <w:rsid w:val="000430CF"/>
    <w:rsid w:val="00044337"/>
    <w:rsid w:val="00045869"/>
    <w:rsid w:val="00051BC9"/>
    <w:rsid w:val="00052BF3"/>
    <w:rsid w:val="00071505"/>
    <w:rsid w:val="00074CF7"/>
    <w:rsid w:val="00093430"/>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22A63"/>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94BE5"/>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E7ABC"/>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1AA1"/>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2023"/>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8270</Words>
  <Characters>47140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ЕКАТЕРИНА В. ГОЛОВАЧЕВА2</cp:lastModifiedBy>
  <cp:revision>2</cp:revision>
  <cp:lastPrinted>2022-10-03T07:48:00Z</cp:lastPrinted>
  <dcterms:created xsi:type="dcterms:W3CDTF">2022-10-20T12:16:00Z</dcterms:created>
  <dcterms:modified xsi:type="dcterms:W3CDTF">2022-10-20T12:16:00Z</dcterms:modified>
</cp:coreProperties>
</file>